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12" w:rsidRPr="00853066" w:rsidRDefault="00A33F12" w:rsidP="00A33F12">
      <w:pPr>
        <w:widowControl w:val="0"/>
        <w:autoSpaceDE w:val="0"/>
        <w:autoSpaceDN w:val="0"/>
        <w:adjustRightInd w:val="0"/>
        <w:spacing w:before="48" w:after="0" w:line="240" w:lineRule="auto"/>
        <w:ind w:left="-426" w:right="158"/>
        <w:jc w:val="center"/>
        <w:rPr>
          <w:rFonts w:cs="Arial"/>
          <w:b/>
          <w:bCs/>
          <w:w w:val="102"/>
          <w:sz w:val="24"/>
          <w:szCs w:val="24"/>
          <w:u w:val="single"/>
        </w:rPr>
      </w:pPr>
      <w:r w:rsidRPr="00853066">
        <w:rPr>
          <w:rFonts w:cs="Arial"/>
          <w:b/>
          <w:bCs/>
          <w:spacing w:val="1"/>
          <w:sz w:val="24"/>
          <w:szCs w:val="24"/>
          <w:u w:val="single"/>
        </w:rPr>
        <w:t>2020</w:t>
      </w:r>
      <w:r w:rsidRPr="00853066">
        <w:rPr>
          <w:rFonts w:cs="Arial"/>
          <w:b/>
          <w:bCs/>
          <w:spacing w:val="-2"/>
          <w:sz w:val="24"/>
          <w:szCs w:val="24"/>
          <w:u w:val="single"/>
        </w:rPr>
        <w:t>/</w:t>
      </w:r>
      <w:r w:rsidRPr="00853066">
        <w:rPr>
          <w:rFonts w:cs="Arial"/>
          <w:b/>
          <w:bCs/>
          <w:spacing w:val="1"/>
          <w:sz w:val="24"/>
          <w:szCs w:val="24"/>
          <w:u w:val="single"/>
        </w:rPr>
        <w:t>21</w:t>
      </w:r>
      <w:r w:rsidRPr="00853066">
        <w:rPr>
          <w:rFonts w:cs="Arial"/>
          <w:b/>
          <w:bCs/>
          <w:spacing w:val="19"/>
          <w:sz w:val="24"/>
          <w:szCs w:val="24"/>
          <w:u w:val="single"/>
        </w:rPr>
        <w:t xml:space="preserve"> </w:t>
      </w:r>
      <w:r w:rsidRPr="00853066">
        <w:rPr>
          <w:rFonts w:cs="Arial"/>
          <w:b/>
          <w:bCs/>
          <w:w w:val="102"/>
          <w:sz w:val="24"/>
          <w:szCs w:val="24"/>
          <w:u w:val="single"/>
        </w:rPr>
        <w:t>Maintenance of Transport Assets</w:t>
      </w:r>
    </w:p>
    <w:p w:rsidR="00A33F12" w:rsidRPr="00853066" w:rsidRDefault="00A33F12" w:rsidP="00A33F12">
      <w:pPr>
        <w:widowControl w:val="0"/>
        <w:autoSpaceDE w:val="0"/>
        <w:autoSpaceDN w:val="0"/>
        <w:adjustRightInd w:val="0"/>
        <w:spacing w:before="48" w:after="0" w:line="240" w:lineRule="auto"/>
        <w:ind w:left="-426" w:right="158"/>
        <w:jc w:val="center"/>
        <w:rPr>
          <w:rFonts w:cs="Arial"/>
          <w:b/>
          <w:bCs/>
          <w:w w:val="102"/>
          <w:sz w:val="24"/>
          <w:szCs w:val="24"/>
          <w:u w:val="single"/>
        </w:rPr>
      </w:pPr>
      <w:r w:rsidRPr="00853066">
        <w:rPr>
          <w:rFonts w:cs="Arial"/>
          <w:b/>
          <w:bCs/>
          <w:w w:val="102"/>
          <w:sz w:val="24"/>
          <w:szCs w:val="24"/>
          <w:u w:val="single"/>
        </w:rPr>
        <w:t>Appendix K: Draft Cycling Safety 2020/21 Capital Programme</w:t>
      </w:r>
    </w:p>
    <w:p w:rsidR="00A33F12" w:rsidRPr="008419D6" w:rsidRDefault="00A33F12" w:rsidP="00A33F12">
      <w:pPr>
        <w:widowControl w:val="0"/>
        <w:autoSpaceDE w:val="0"/>
        <w:autoSpaceDN w:val="0"/>
        <w:adjustRightInd w:val="0"/>
        <w:spacing w:before="48" w:after="0" w:line="240" w:lineRule="auto"/>
        <w:ind w:left="-426" w:right="158"/>
        <w:jc w:val="center"/>
        <w:rPr>
          <w:rFonts w:cs="Arial"/>
          <w:b/>
          <w:bCs/>
          <w:w w:val="102"/>
          <w:sz w:val="24"/>
          <w:szCs w:val="24"/>
          <w:u w:val="single"/>
        </w:rPr>
      </w:pPr>
    </w:p>
    <w:tbl>
      <w:tblPr>
        <w:tblW w:w="546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63"/>
        <w:gridCol w:w="1385"/>
        <w:gridCol w:w="4436"/>
        <w:gridCol w:w="1242"/>
      </w:tblGrid>
      <w:tr w:rsidR="00A33F12" w:rsidTr="003064FD">
        <w:trPr>
          <w:trHeight w:val="510"/>
          <w:tblHeader/>
        </w:trPr>
        <w:tc>
          <w:tcPr>
            <w:tcW w:w="5000" w:type="pct"/>
            <w:gridSpan w:val="5"/>
            <w:shd w:val="clear" w:color="auto" w:fill="E6B0D4"/>
            <w:vAlign w:val="center"/>
            <w:hideMark/>
          </w:tcPr>
          <w:p w:rsidR="00A33F12" w:rsidRPr="00853066" w:rsidRDefault="00A33F12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5306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2020/21 Programme: Cycling Safety</w:t>
            </w:r>
          </w:p>
        </w:tc>
      </w:tr>
      <w:tr w:rsidR="00A33F12" w:rsidTr="003064FD">
        <w:trPr>
          <w:trHeight w:val="545"/>
          <w:tblHeader/>
        </w:trPr>
        <w:tc>
          <w:tcPr>
            <w:tcW w:w="855" w:type="pct"/>
            <w:shd w:val="clear" w:color="auto" w:fill="E6B0D4"/>
            <w:vAlign w:val="center"/>
          </w:tcPr>
          <w:p w:rsidR="00A33F12" w:rsidRPr="00195970" w:rsidRDefault="00A33F12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9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Project Name</w:t>
            </w:r>
          </w:p>
        </w:tc>
        <w:tc>
          <w:tcPr>
            <w:tcW w:w="790" w:type="pct"/>
            <w:shd w:val="clear" w:color="auto" w:fill="E6B0D4"/>
            <w:vAlign w:val="center"/>
          </w:tcPr>
          <w:p w:rsidR="00A33F12" w:rsidRPr="00195970" w:rsidRDefault="00A33F12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9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Division</w:t>
            </w:r>
          </w:p>
        </w:tc>
        <w:tc>
          <w:tcPr>
            <w:tcW w:w="658" w:type="pct"/>
            <w:shd w:val="clear" w:color="auto" w:fill="E6B0D4"/>
            <w:vAlign w:val="center"/>
          </w:tcPr>
          <w:p w:rsidR="00A33F12" w:rsidRPr="00195970" w:rsidRDefault="00A33F12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9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District</w:t>
            </w:r>
          </w:p>
        </w:tc>
        <w:tc>
          <w:tcPr>
            <w:tcW w:w="2107" w:type="pct"/>
            <w:shd w:val="clear" w:color="auto" w:fill="E6B0D4"/>
            <w:vAlign w:val="center"/>
          </w:tcPr>
          <w:p w:rsidR="00A33F12" w:rsidRPr="00195970" w:rsidRDefault="00A33F12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44C2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Project Description</w:t>
            </w:r>
          </w:p>
        </w:tc>
        <w:tc>
          <w:tcPr>
            <w:tcW w:w="590" w:type="pct"/>
            <w:shd w:val="clear" w:color="auto" w:fill="E6B0D4"/>
            <w:vAlign w:val="center"/>
          </w:tcPr>
          <w:p w:rsidR="00A33F12" w:rsidRPr="00195970" w:rsidRDefault="00A33F12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44C2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Estimate</w:t>
            </w:r>
          </w:p>
        </w:tc>
      </w:tr>
      <w:tr w:rsidR="00A33F12" w:rsidTr="003064FD">
        <w:trPr>
          <w:trHeight w:val="1734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196F91">
              <w:rPr>
                <w:rFonts w:cs="Calibri"/>
                <w:color w:val="000000"/>
                <w:sz w:val="24"/>
                <w:szCs w:val="24"/>
              </w:rPr>
              <w:t xml:space="preserve">Clifton Drive North, St </w:t>
            </w:r>
            <w:proofErr w:type="spellStart"/>
            <w:r w:rsidRPr="00196F91">
              <w:rPr>
                <w:rFonts w:cs="Calibri"/>
                <w:color w:val="000000"/>
                <w:sz w:val="24"/>
                <w:szCs w:val="24"/>
              </w:rPr>
              <w:t>Annes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r w:rsidRPr="00196F91">
              <w:rPr>
                <w:rFonts w:cs="Calibri"/>
                <w:color w:val="000000"/>
                <w:sz w:val="24"/>
                <w:szCs w:val="24"/>
              </w:rPr>
              <w:t>Segregated cycleway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196F91"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St </w:t>
            </w:r>
            <w:proofErr w:type="spellStart"/>
            <w:r w:rsidRPr="00196F91">
              <w:rPr>
                <w:rFonts w:eastAsia="Times New Roman" w:cs="Calibri"/>
                <w:bCs/>
                <w:color w:val="000000"/>
                <w:sz w:val="24"/>
                <w:szCs w:val="24"/>
              </w:rPr>
              <w:t>Annes</w:t>
            </w:r>
            <w:proofErr w:type="spellEnd"/>
            <w:r w:rsidRPr="00196F91"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 North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196F91">
              <w:rPr>
                <w:rFonts w:eastAsia="Times New Roman" w:cs="Calibri"/>
                <w:bCs/>
                <w:color w:val="000000"/>
                <w:sz w:val="24"/>
                <w:szCs w:val="24"/>
              </w:rPr>
              <w:t>Fylde</w:t>
            </w:r>
          </w:p>
        </w:tc>
        <w:tc>
          <w:tcPr>
            <w:tcW w:w="21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196F91">
              <w:rPr>
                <w:rFonts w:cs="Calibri"/>
                <w:color w:val="000000"/>
                <w:sz w:val="24"/>
                <w:szCs w:val="24"/>
              </w:rPr>
              <w:t xml:space="preserve">Segregated cycleway on the western side of the carriageway from Squires Gate Lane to Highbury Road West. We are also due to receive a £545,755 contribution from the </w:t>
            </w:r>
            <w:proofErr w:type="spellStart"/>
            <w:r w:rsidRPr="00196F91">
              <w:rPr>
                <w:rFonts w:cs="Calibri"/>
                <w:color w:val="000000"/>
                <w:sz w:val="24"/>
                <w:szCs w:val="24"/>
              </w:rPr>
              <w:t>DfT</w:t>
            </w:r>
            <w:proofErr w:type="spellEnd"/>
            <w:r w:rsidRPr="00196F91">
              <w:rPr>
                <w:rFonts w:cs="Calibri"/>
                <w:color w:val="000000"/>
                <w:sz w:val="24"/>
                <w:szCs w:val="24"/>
              </w:rPr>
              <w:t xml:space="preserve"> for this project.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</w:pPr>
            <w:r w:rsidRPr="00196F91"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  <w:t>£150,000</w:t>
            </w:r>
          </w:p>
        </w:tc>
      </w:tr>
      <w:tr w:rsidR="00A33F12" w:rsidTr="003064FD">
        <w:trPr>
          <w:trHeight w:val="1830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196F91">
              <w:rPr>
                <w:rFonts w:cs="Calibri"/>
                <w:color w:val="000000"/>
                <w:sz w:val="24"/>
                <w:szCs w:val="24"/>
              </w:rPr>
              <w:t>County Road/ Yew Tree Road, Ormskirk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Cycling Improvements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196F91">
              <w:rPr>
                <w:rFonts w:eastAsia="Times New Roman" w:cs="Calibri"/>
                <w:bCs/>
                <w:color w:val="000000"/>
                <w:sz w:val="24"/>
                <w:szCs w:val="24"/>
              </w:rPr>
              <w:t>Ormskirk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196F91">
              <w:rPr>
                <w:rFonts w:eastAsia="Times New Roman" w:cs="Calibri"/>
                <w:bCs/>
                <w:color w:val="000000"/>
                <w:sz w:val="24"/>
                <w:szCs w:val="24"/>
              </w:rPr>
              <w:t>West Lancashire</w:t>
            </w:r>
          </w:p>
        </w:tc>
        <w:tc>
          <w:tcPr>
            <w:tcW w:w="21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196F91">
              <w:rPr>
                <w:rFonts w:cs="Calibri"/>
                <w:color w:val="000000"/>
                <w:sz w:val="24"/>
                <w:szCs w:val="24"/>
              </w:rPr>
              <w:t>Toucan crossing facility on County Road, combined with a new signed route along Yew Tree Road. We are also due to receive a £95,000 Section 106 contribution from West Lancashire Borough Council for this project.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</w:pPr>
            <w:r w:rsidRPr="00196F91"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  <w:t>£50,000</w:t>
            </w:r>
          </w:p>
        </w:tc>
      </w:tr>
      <w:tr w:rsidR="00A33F12" w:rsidTr="003064FD">
        <w:trPr>
          <w:trHeight w:val="1555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196F91">
              <w:rPr>
                <w:rFonts w:cs="Calibri"/>
                <w:color w:val="000000"/>
                <w:sz w:val="24"/>
                <w:szCs w:val="24"/>
              </w:rPr>
              <w:t>Colne to Pendle Greenway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Cycling Signage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proofErr w:type="spellStart"/>
            <w:r w:rsidRPr="00196F91">
              <w:rPr>
                <w:rFonts w:eastAsia="Times New Roman" w:cs="Calibri"/>
                <w:bCs/>
                <w:color w:val="000000"/>
                <w:sz w:val="24"/>
                <w:szCs w:val="24"/>
              </w:rPr>
              <w:t>Brierfield</w:t>
            </w:r>
            <w:proofErr w:type="spellEnd"/>
            <w:r w:rsidRPr="00196F91"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196F91">
              <w:rPr>
                <w:rFonts w:eastAsia="Times New Roman" w:cs="Calibri"/>
                <w:bCs/>
                <w:color w:val="000000"/>
                <w:sz w:val="24"/>
                <w:szCs w:val="24"/>
              </w:rPr>
              <w:t>Pendle</w:t>
            </w:r>
          </w:p>
        </w:tc>
        <w:tc>
          <w:tcPr>
            <w:tcW w:w="21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196F91">
              <w:rPr>
                <w:rFonts w:cs="Calibri"/>
                <w:color w:val="000000"/>
                <w:sz w:val="24"/>
                <w:szCs w:val="24"/>
              </w:rPr>
              <w:t xml:space="preserve">Additional cycle direction signing to </w:t>
            </w:r>
            <w:proofErr w:type="spellStart"/>
            <w:r w:rsidRPr="00196F91">
              <w:rPr>
                <w:rFonts w:cs="Calibri"/>
                <w:color w:val="000000"/>
                <w:sz w:val="24"/>
                <w:szCs w:val="24"/>
              </w:rPr>
              <w:t>Barrowford</w:t>
            </w:r>
            <w:proofErr w:type="spellEnd"/>
            <w:r w:rsidRPr="00196F91">
              <w:rPr>
                <w:rFonts w:cs="Calibri"/>
                <w:color w:val="000000"/>
                <w:sz w:val="24"/>
                <w:szCs w:val="24"/>
              </w:rPr>
              <w:t xml:space="preserve">, Nelson and Colne College, Victoria Park, </w:t>
            </w:r>
            <w:proofErr w:type="spellStart"/>
            <w:r w:rsidRPr="00196F91">
              <w:rPr>
                <w:rFonts w:cs="Calibri"/>
                <w:color w:val="000000"/>
                <w:sz w:val="24"/>
                <w:szCs w:val="24"/>
              </w:rPr>
              <w:t>Lomeshaye</w:t>
            </w:r>
            <w:proofErr w:type="spellEnd"/>
            <w:r w:rsidRPr="00196F91">
              <w:rPr>
                <w:rFonts w:cs="Calibri"/>
                <w:color w:val="000000"/>
                <w:sz w:val="24"/>
                <w:szCs w:val="24"/>
              </w:rPr>
              <w:t xml:space="preserve"> Industrial Estate, and </w:t>
            </w:r>
            <w:proofErr w:type="spellStart"/>
            <w:r w:rsidRPr="00196F91">
              <w:rPr>
                <w:rFonts w:cs="Calibri"/>
                <w:color w:val="000000"/>
                <w:sz w:val="24"/>
                <w:szCs w:val="24"/>
              </w:rPr>
              <w:t>Brierfield</w:t>
            </w:r>
            <w:proofErr w:type="spellEnd"/>
            <w:r w:rsidRPr="00196F91">
              <w:rPr>
                <w:rFonts w:cs="Calibri"/>
                <w:color w:val="000000"/>
                <w:sz w:val="24"/>
                <w:szCs w:val="24"/>
              </w:rPr>
              <w:t>, from Nelson Town Centre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96F91">
              <w:rPr>
                <w:rFonts w:cs="Calibri"/>
                <w:sz w:val="24"/>
                <w:szCs w:val="24"/>
              </w:rPr>
              <w:t>£50,000</w:t>
            </w:r>
          </w:p>
        </w:tc>
      </w:tr>
      <w:tr w:rsidR="00A33F12" w:rsidTr="003064FD">
        <w:trPr>
          <w:trHeight w:val="1691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Walton-le-Dale Cycling </w:t>
            </w:r>
            <w:r w:rsidRPr="00196F91">
              <w:rPr>
                <w:rFonts w:cs="Calibri"/>
                <w:color w:val="000000"/>
                <w:sz w:val="24"/>
                <w:szCs w:val="24"/>
              </w:rPr>
              <w:t>Improvements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96F91">
              <w:rPr>
                <w:rFonts w:cs="Calibri"/>
                <w:color w:val="000000"/>
                <w:sz w:val="24"/>
                <w:szCs w:val="24"/>
              </w:rPr>
              <w:t>Penwortham East and Walton-le-Dale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96F91">
              <w:rPr>
                <w:rFonts w:cs="Calibri"/>
                <w:color w:val="000000"/>
                <w:sz w:val="24"/>
                <w:szCs w:val="24"/>
              </w:rPr>
              <w:t xml:space="preserve">South </w:t>
            </w:r>
            <w:proofErr w:type="spellStart"/>
            <w:r w:rsidRPr="00196F91">
              <w:rPr>
                <w:rFonts w:cs="Calibri"/>
                <w:color w:val="000000"/>
                <w:sz w:val="24"/>
                <w:szCs w:val="24"/>
              </w:rPr>
              <w:t>Ribble</w:t>
            </w:r>
            <w:proofErr w:type="spellEnd"/>
          </w:p>
        </w:tc>
        <w:tc>
          <w:tcPr>
            <w:tcW w:w="21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196F91">
              <w:rPr>
                <w:rFonts w:cs="Calibri"/>
                <w:color w:val="000000"/>
                <w:sz w:val="24"/>
                <w:szCs w:val="24"/>
              </w:rPr>
              <w:t xml:space="preserve">New toucan crossing on </w:t>
            </w:r>
            <w:proofErr w:type="spellStart"/>
            <w:r w:rsidRPr="00196F91">
              <w:rPr>
                <w:rFonts w:cs="Calibri"/>
                <w:color w:val="000000"/>
                <w:sz w:val="24"/>
                <w:szCs w:val="24"/>
              </w:rPr>
              <w:t>Carrwood</w:t>
            </w:r>
            <w:proofErr w:type="spellEnd"/>
            <w:r w:rsidRPr="00196F91">
              <w:rPr>
                <w:rFonts w:cs="Calibri"/>
                <w:color w:val="000000"/>
                <w:sz w:val="24"/>
                <w:szCs w:val="24"/>
              </w:rPr>
              <w:t xml:space="preserve"> Road for pedestrians and cyclists on Old Tram Road, and review possible extension of the </w:t>
            </w:r>
            <w:proofErr w:type="spellStart"/>
            <w:r w:rsidRPr="00196F91">
              <w:rPr>
                <w:rFonts w:cs="Calibri"/>
                <w:color w:val="000000"/>
                <w:sz w:val="24"/>
                <w:szCs w:val="24"/>
              </w:rPr>
              <w:t>cycleways</w:t>
            </w:r>
            <w:proofErr w:type="spellEnd"/>
            <w:r w:rsidRPr="00196F91">
              <w:rPr>
                <w:rFonts w:cs="Calibri"/>
                <w:color w:val="000000"/>
                <w:sz w:val="24"/>
                <w:szCs w:val="24"/>
              </w:rPr>
              <w:t xml:space="preserve"> along </w:t>
            </w:r>
            <w:proofErr w:type="spellStart"/>
            <w:r w:rsidRPr="00196F91">
              <w:rPr>
                <w:rFonts w:cs="Calibri"/>
                <w:color w:val="000000"/>
                <w:sz w:val="24"/>
                <w:szCs w:val="24"/>
              </w:rPr>
              <w:t>Carrwood</w:t>
            </w:r>
            <w:proofErr w:type="spellEnd"/>
            <w:r w:rsidRPr="00196F91">
              <w:rPr>
                <w:rFonts w:cs="Calibri"/>
                <w:color w:val="000000"/>
                <w:sz w:val="24"/>
                <w:szCs w:val="24"/>
              </w:rPr>
              <w:t xml:space="preserve"> Road towards </w:t>
            </w:r>
            <w:proofErr w:type="spellStart"/>
            <w:r w:rsidRPr="00196F91">
              <w:rPr>
                <w:rFonts w:cs="Calibri"/>
                <w:color w:val="000000"/>
                <w:sz w:val="24"/>
                <w:szCs w:val="24"/>
              </w:rPr>
              <w:t>Hennell</w:t>
            </w:r>
            <w:proofErr w:type="spellEnd"/>
            <w:r w:rsidRPr="00196F91">
              <w:rPr>
                <w:rFonts w:cs="Calibri"/>
                <w:color w:val="000000"/>
                <w:sz w:val="24"/>
                <w:szCs w:val="24"/>
              </w:rPr>
              <w:t xml:space="preserve"> Lane roundabout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</w:pPr>
            <w:r w:rsidRPr="00196F91"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  <w:t>£150,000</w:t>
            </w:r>
          </w:p>
        </w:tc>
      </w:tr>
      <w:tr w:rsidR="00A33F12" w:rsidTr="003064FD">
        <w:trPr>
          <w:trHeight w:val="1684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Bridleway 80 C</w:t>
            </w:r>
            <w:r w:rsidRPr="00196F91">
              <w:rPr>
                <w:rFonts w:cs="Calibri"/>
                <w:color w:val="000000"/>
                <w:sz w:val="24"/>
                <w:szCs w:val="24"/>
              </w:rPr>
              <w:t>ontribution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96F91">
              <w:rPr>
                <w:rFonts w:cs="Calibri"/>
                <w:color w:val="000000"/>
                <w:sz w:val="24"/>
                <w:szCs w:val="24"/>
              </w:rPr>
              <w:t xml:space="preserve">South </w:t>
            </w:r>
            <w:proofErr w:type="spellStart"/>
            <w:r w:rsidRPr="00196F91">
              <w:rPr>
                <w:rFonts w:cs="Calibri"/>
                <w:color w:val="000000"/>
                <w:sz w:val="24"/>
                <w:szCs w:val="24"/>
              </w:rPr>
              <w:t>Ribble</w:t>
            </w:r>
            <w:proofErr w:type="spellEnd"/>
            <w:r w:rsidRPr="00196F91">
              <w:rPr>
                <w:rFonts w:cs="Calibri"/>
                <w:color w:val="000000"/>
                <w:sz w:val="24"/>
                <w:szCs w:val="24"/>
              </w:rPr>
              <w:t xml:space="preserve"> East/ Penwortham East and Walton-le-Dale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96F91">
              <w:rPr>
                <w:rFonts w:cs="Calibri"/>
                <w:color w:val="000000"/>
                <w:sz w:val="24"/>
                <w:szCs w:val="24"/>
              </w:rPr>
              <w:t xml:space="preserve">South </w:t>
            </w:r>
            <w:proofErr w:type="spellStart"/>
            <w:r w:rsidRPr="00196F91">
              <w:rPr>
                <w:rFonts w:cs="Calibri"/>
                <w:color w:val="000000"/>
                <w:sz w:val="24"/>
                <w:szCs w:val="24"/>
              </w:rPr>
              <w:t>Ribble</w:t>
            </w:r>
            <w:proofErr w:type="spellEnd"/>
          </w:p>
        </w:tc>
        <w:tc>
          <w:tcPr>
            <w:tcW w:w="21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196F91">
              <w:rPr>
                <w:rFonts w:cs="Calibri"/>
                <w:color w:val="000000"/>
                <w:sz w:val="24"/>
                <w:szCs w:val="24"/>
              </w:rPr>
              <w:t>Contribution to assist with the delivery of a bridleway upgrade from Winery Lane to the Old Tram Bridge, diverting cyclists off heavily trafficked roads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</w:pPr>
            <w:r w:rsidRPr="00196F91"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  <w:t>£30,000</w:t>
            </w:r>
          </w:p>
        </w:tc>
      </w:tr>
      <w:tr w:rsidR="00A33F12" w:rsidTr="003064FD">
        <w:trPr>
          <w:trHeight w:val="1998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196F91">
              <w:rPr>
                <w:rFonts w:cs="Calibri"/>
                <w:color w:val="000000"/>
                <w:sz w:val="24"/>
                <w:szCs w:val="24"/>
              </w:rPr>
              <w:t>King Street</w:t>
            </w:r>
            <w:r>
              <w:rPr>
                <w:rFonts w:cs="Calibri"/>
                <w:color w:val="000000"/>
                <w:sz w:val="24"/>
                <w:szCs w:val="24"/>
              </w:rPr>
              <w:t>;</w:t>
            </w:r>
            <w:r w:rsidRPr="00196F91">
              <w:rPr>
                <w:rFonts w:cs="Calibri"/>
                <w:color w:val="000000"/>
                <w:sz w:val="24"/>
                <w:szCs w:val="24"/>
              </w:rPr>
              <w:t xml:space="preserve"> Queen Square to Common Garden Street</w:t>
            </w:r>
            <w:r>
              <w:rPr>
                <w:rFonts w:cs="Calibri"/>
                <w:color w:val="000000"/>
                <w:sz w:val="24"/>
                <w:szCs w:val="24"/>
              </w:rPr>
              <w:t>, Cycle Lane Markings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96F91">
              <w:rPr>
                <w:rFonts w:cs="Calibri"/>
                <w:color w:val="000000"/>
                <w:sz w:val="24"/>
                <w:szCs w:val="24"/>
              </w:rPr>
              <w:t>Lancaster East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96F91">
              <w:rPr>
                <w:rFonts w:cs="Calibri"/>
                <w:color w:val="000000"/>
                <w:sz w:val="24"/>
                <w:szCs w:val="24"/>
              </w:rPr>
              <w:t>Lancaster</w:t>
            </w:r>
          </w:p>
        </w:tc>
        <w:tc>
          <w:tcPr>
            <w:tcW w:w="21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196F91">
              <w:rPr>
                <w:rFonts w:cs="Calibri"/>
                <w:color w:val="000000"/>
                <w:sz w:val="24"/>
                <w:szCs w:val="24"/>
              </w:rPr>
              <w:t>Realignment of the lane markings to allow cycle lanes to be marked across the side roads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  <w:t>£2</w:t>
            </w:r>
            <w:r w:rsidRPr="00196F91"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  <w:t>0,000</w:t>
            </w:r>
          </w:p>
        </w:tc>
      </w:tr>
      <w:tr w:rsidR="00A33F12" w:rsidTr="003064FD">
        <w:trPr>
          <w:trHeight w:val="1406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96F91">
              <w:rPr>
                <w:rFonts w:cs="Calibri"/>
                <w:color w:val="000000"/>
                <w:sz w:val="24"/>
                <w:szCs w:val="24"/>
              </w:rPr>
              <w:t>2021/22 Pipeline Project Development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96F91">
              <w:rPr>
                <w:rFonts w:cs="Calibri"/>
                <w:color w:val="000000"/>
                <w:sz w:val="24"/>
                <w:szCs w:val="24"/>
              </w:rPr>
              <w:t>As necessary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96F91">
              <w:rPr>
                <w:rFonts w:cs="Calibri"/>
                <w:color w:val="000000"/>
                <w:sz w:val="24"/>
                <w:szCs w:val="24"/>
              </w:rPr>
              <w:t>As necessary</w:t>
            </w:r>
          </w:p>
        </w:tc>
        <w:tc>
          <w:tcPr>
            <w:tcW w:w="21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96F91">
              <w:rPr>
                <w:rFonts w:cs="Calibri"/>
                <w:color w:val="000000"/>
                <w:sz w:val="24"/>
                <w:szCs w:val="24"/>
              </w:rPr>
              <w:t>Allocation to allow the review and design development of proposed new 2021/22 projects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</w:pPr>
            <w:r w:rsidRPr="00196F91"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  <w:t>£20,000</w:t>
            </w:r>
          </w:p>
        </w:tc>
      </w:tr>
      <w:tr w:rsidR="00A33F12" w:rsidTr="003064FD">
        <w:trPr>
          <w:trHeight w:val="1152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196F91">
              <w:rPr>
                <w:rFonts w:cs="Calibri"/>
                <w:color w:val="000000"/>
                <w:sz w:val="24"/>
                <w:szCs w:val="24"/>
              </w:rPr>
              <w:lastRenderedPageBreak/>
              <w:t>In-year Monitoring and Evaluation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96F91">
              <w:rPr>
                <w:rFonts w:cs="Calibri"/>
                <w:color w:val="000000"/>
                <w:sz w:val="24"/>
                <w:szCs w:val="24"/>
              </w:rPr>
              <w:t>As necessary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96F91">
              <w:rPr>
                <w:rFonts w:cs="Calibri"/>
                <w:color w:val="000000"/>
                <w:sz w:val="24"/>
                <w:szCs w:val="24"/>
              </w:rPr>
              <w:t>As necessary</w:t>
            </w:r>
          </w:p>
        </w:tc>
        <w:tc>
          <w:tcPr>
            <w:tcW w:w="21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In-year a</w:t>
            </w:r>
            <w:r w:rsidRPr="009635A5">
              <w:rPr>
                <w:rFonts w:cs="Calibri"/>
                <w:color w:val="000000"/>
                <w:sz w:val="24"/>
                <w:szCs w:val="24"/>
              </w:rPr>
              <w:t>llocation to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allow schemes to be monitored, reviewed and audited 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F12" w:rsidRPr="00196F91" w:rsidRDefault="00A33F12" w:rsidP="00306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</w:pPr>
            <w:r w:rsidRPr="00196F91"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  <w:t>£30,000</w:t>
            </w:r>
          </w:p>
        </w:tc>
      </w:tr>
      <w:tr w:rsidR="00A33F12" w:rsidTr="003064FD">
        <w:trPr>
          <w:trHeight w:val="525"/>
        </w:trPr>
        <w:tc>
          <w:tcPr>
            <w:tcW w:w="4410" w:type="pct"/>
            <w:gridSpan w:val="4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A33F12" w:rsidRPr="002A4C6D" w:rsidRDefault="00A33F12" w:rsidP="003064F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</w:pPr>
            <w:r w:rsidRPr="002A4C6D">
              <w:rPr>
                <w:rFonts w:cs="Arial"/>
                <w:b/>
                <w:bCs/>
                <w:sz w:val="24"/>
                <w:szCs w:val="24"/>
              </w:rPr>
              <w:t>For</w:t>
            </w:r>
            <w:r w:rsidRPr="002A4C6D">
              <w:rPr>
                <w:rFonts w:cs="Arial"/>
                <w:b/>
                <w:bCs/>
                <w:spacing w:val="1"/>
                <w:sz w:val="24"/>
                <w:szCs w:val="24"/>
              </w:rPr>
              <w:t>ecas</w:t>
            </w:r>
            <w:r w:rsidRPr="002A4C6D">
              <w:rPr>
                <w:rFonts w:cs="Arial"/>
                <w:b/>
                <w:bCs/>
                <w:sz w:val="24"/>
                <w:szCs w:val="24"/>
              </w:rPr>
              <w:t>t</w:t>
            </w:r>
            <w:r w:rsidRPr="002A4C6D">
              <w:rPr>
                <w:rFonts w:cs="Arial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2A4C6D">
              <w:rPr>
                <w:rFonts w:cs="Arial"/>
                <w:b/>
                <w:bCs/>
                <w:spacing w:val="1"/>
                <w:sz w:val="24"/>
                <w:szCs w:val="24"/>
              </w:rPr>
              <w:t>O</w:t>
            </w:r>
            <w:r w:rsidRPr="002A4C6D">
              <w:rPr>
                <w:rFonts w:cs="Arial"/>
                <w:b/>
                <w:bCs/>
                <w:sz w:val="24"/>
                <w:szCs w:val="24"/>
              </w:rPr>
              <w:t>u</w:t>
            </w:r>
            <w:r w:rsidRPr="002A4C6D">
              <w:rPr>
                <w:rFonts w:cs="Arial"/>
                <w:b/>
                <w:bCs/>
                <w:spacing w:val="2"/>
                <w:sz w:val="24"/>
                <w:szCs w:val="24"/>
              </w:rPr>
              <w:t>tt</w:t>
            </w:r>
            <w:r w:rsidRPr="002A4C6D">
              <w:rPr>
                <w:rFonts w:cs="Arial"/>
                <w:b/>
                <w:bCs/>
                <w:sz w:val="24"/>
                <w:szCs w:val="24"/>
              </w:rPr>
              <w:t>urn</w:t>
            </w:r>
            <w:r w:rsidRPr="002A4C6D">
              <w:rPr>
                <w:rFonts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2A4C6D">
              <w:rPr>
                <w:rFonts w:cs="Arial"/>
                <w:b/>
                <w:bCs/>
                <w:spacing w:val="2"/>
                <w:sz w:val="24"/>
                <w:szCs w:val="24"/>
              </w:rPr>
              <w:t>C</w:t>
            </w:r>
            <w:r w:rsidRPr="002A4C6D">
              <w:rPr>
                <w:rFonts w:cs="Arial"/>
                <w:b/>
                <w:bCs/>
                <w:spacing w:val="1"/>
                <w:sz w:val="24"/>
                <w:szCs w:val="24"/>
              </w:rPr>
              <w:t>a</w:t>
            </w:r>
            <w:r w:rsidRPr="002A4C6D">
              <w:rPr>
                <w:rFonts w:cs="Arial"/>
                <w:b/>
                <w:bCs/>
                <w:sz w:val="24"/>
                <w:szCs w:val="24"/>
              </w:rPr>
              <w:t>p</w:t>
            </w:r>
            <w:r w:rsidRPr="002A4C6D">
              <w:rPr>
                <w:rFonts w:cs="Arial"/>
                <w:b/>
                <w:bCs/>
                <w:spacing w:val="-2"/>
                <w:sz w:val="24"/>
                <w:szCs w:val="24"/>
              </w:rPr>
              <w:t>i</w:t>
            </w:r>
            <w:r w:rsidRPr="002A4C6D">
              <w:rPr>
                <w:rFonts w:cs="Arial"/>
                <w:b/>
                <w:bCs/>
                <w:spacing w:val="2"/>
                <w:sz w:val="24"/>
                <w:szCs w:val="24"/>
              </w:rPr>
              <w:t>t</w:t>
            </w:r>
            <w:r w:rsidRPr="002A4C6D">
              <w:rPr>
                <w:rFonts w:cs="Arial"/>
                <w:b/>
                <w:bCs/>
                <w:spacing w:val="1"/>
                <w:sz w:val="24"/>
                <w:szCs w:val="24"/>
              </w:rPr>
              <w:t>a</w:t>
            </w:r>
            <w:r w:rsidRPr="002A4C6D">
              <w:rPr>
                <w:rFonts w:cs="Arial"/>
                <w:b/>
                <w:bCs/>
                <w:sz w:val="24"/>
                <w:szCs w:val="24"/>
              </w:rPr>
              <w:t>l</w:t>
            </w:r>
            <w:r w:rsidRPr="002A4C6D">
              <w:rPr>
                <w:rFonts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2A4C6D">
              <w:rPr>
                <w:rFonts w:cs="Arial"/>
                <w:b/>
                <w:bCs/>
                <w:spacing w:val="-2"/>
                <w:w w:val="102"/>
                <w:sz w:val="24"/>
                <w:szCs w:val="24"/>
              </w:rPr>
              <w:t>E</w:t>
            </w:r>
            <w:r w:rsidRPr="002A4C6D">
              <w:rPr>
                <w:rFonts w:cs="Arial"/>
                <w:b/>
                <w:bCs/>
                <w:spacing w:val="1"/>
                <w:w w:val="102"/>
                <w:sz w:val="24"/>
                <w:szCs w:val="24"/>
              </w:rPr>
              <w:t>x</w:t>
            </w:r>
            <w:r w:rsidRPr="002A4C6D">
              <w:rPr>
                <w:rFonts w:cs="Arial"/>
                <w:b/>
                <w:bCs/>
                <w:w w:val="102"/>
                <w:sz w:val="24"/>
                <w:szCs w:val="24"/>
              </w:rPr>
              <w:t>p</w:t>
            </w:r>
            <w:r w:rsidRPr="002A4C6D">
              <w:rPr>
                <w:rFonts w:cs="Arial"/>
                <w:b/>
                <w:bCs/>
                <w:spacing w:val="1"/>
                <w:w w:val="102"/>
                <w:sz w:val="24"/>
                <w:szCs w:val="24"/>
              </w:rPr>
              <w:t>e</w:t>
            </w:r>
            <w:r w:rsidRPr="002A4C6D">
              <w:rPr>
                <w:rFonts w:cs="Arial"/>
                <w:b/>
                <w:bCs/>
                <w:w w:val="102"/>
                <w:sz w:val="24"/>
                <w:szCs w:val="24"/>
              </w:rPr>
              <w:t>nd</w:t>
            </w:r>
            <w:r w:rsidRPr="002A4C6D">
              <w:rPr>
                <w:rFonts w:cs="Arial"/>
                <w:b/>
                <w:bCs/>
                <w:spacing w:val="-2"/>
                <w:w w:val="102"/>
                <w:sz w:val="24"/>
                <w:szCs w:val="24"/>
              </w:rPr>
              <w:t>i</w:t>
            </w:r>
            <w:r w:rsidRPr="002A4C6D">
              <w:rPr>
                <w:rFonts w:cs="Arial"/>
                <w:b/>
                <w:bCs/>
                <w:spacing w:val="2"/>
                <w:w w:val="102"/>
                <w:sz w:val="24"/>
                <w:szCs w:val="24"/>
              </w:rPr>
              <w:t>t</w:t>
            </w:r>
            <w:r w:rsidRPr="002A4C6D">
              <w:rPr>
                <w:rFonts w:cs="Arial"/>
                <w:b/>
                <w:bCs/>
                <w:w w:val="102"/>
                <w:sz w:val="24"/>
                <w:szCs w:val="24"/>
              </w:rPr>
              <w:t>ure:</w:t>
            </w: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A33F12" w:rsidRPr="00F56A78" w:rsidRDefault="00A33F12" w:rsidP="003064FD">
            <w:pPr>
              <w:spacing w:after="0" w:line="240" w:lineRule="auto"/>
              <w:jc w:val="center"/>
              <w:rPr>
                <w:b/>
                <w:color w:val="000000"/>
                <w:lang w:eastAsia="en-GB"/>
              </w:rPr>
            </w:pPr>
            <w:r w:rsidRPr="00F56A7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500,000</w:t>
            </w:r>
          </w:p>
        </w:tc>
      </w:tr>
    </w:tbl>
    <w:p w:rsidR="001A4646" w:rsidRDefault="00A33F12">
      <w:bookmarkStart w:id="0" w:name="_GoBack"/>
      <w:bookmarkEnd w:id="0"/>
    </w:p>
    <w:sectPr w:rsidR="001A4646" w:rsidSect="00A33F12">
      <w:pgSz w:w="11906" w:h="16838"/>
      <w:pgMar w:top="1135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76"/>
    <w:rsid w:val="00025350"/>
    <w:rsid w:val="002562B4"/>
    <w:rsid w:val="00A33F12"/>
    <w:rsid w:val="00B4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84EF"/>
  <w15:chartTrackingRefBased/>
  <w15:docId w15:val="{D17363CD-BEF7-472A-B96B-8E1E9BA2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F1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1767</Characters>
  <Application>Microsoft Office Word</Application>
  <DocSecurity>0</DocSecurity>
  <Lines>14</Lines>
  <Paragraphs>4</Paragraphs>
  <ScaleCrop>false</ScaleCrop>
  <Company>Lancashire County Council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Alker, Craig</dc:creator>
  <cp:keywords/>
  <dc:description/>
  <cp:lastModifiedBy>Alker, Craig</cp:lastModifiedBy>
  <cp:revision>2</cp:revision>
  <dcterms:created xsi:type="dcterms:W3CDTF">2020-02-28T08:50:00Z</dcterms:created>
  <dcterms:modified xsi:type="dcterms:W3CDTF">2020-02-28T08:51:00Z</dcterms:modified>
</cp:coreProperties>
</file>